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0DD8" w14:textId="6033E444" w:rsidR="00B10B94" w:rsidRPr="009F1628" w:rsidRDefault="002D7BEB" w:rsidP="003406F2">
      <w:pPr>
        <w:jc w:val="both"/>
        <w:rPr>
          <w:b/>
          <w:bCs/>
          <w:lang w:val="es-ES"/>
        </w:rPr>
      </w:pPr>
      <w:r w:rsidRPr="009F1628">
        <w:rPr>
          <w:b/>
          <w:bCs/>
          <w:lang w:val="es-ES"/>
        </w:rPr>
        <w:t>DE RECURSOS, RESERVAS Y AUTOSUFICIENCIA</w:t>
      </w:r>
    </w:p>
    <w:p w14:paraId="110C465B" w14:textId="3ED72030" w:rsidR="002D7BEB" w:rsidRDefault="002D7BEB" w:rsidP="003406F2">
      <w:pPr>
        <w:jc w:val="both"/>
        <w:rPr>
          <w:lang w:val="es-ES"/>
        </w:rPr>
      </w:pPr>
      <w:r>
        <w:rPr>
          <w:lang w:val="es-ES"/>
        </w:rPr>
        <w:t>Armando Zamora</w:t>
      </w:r>
      <w:r w:rsidR="00A4726B">
        <w:rPr>
          <w:lang w:val="es-ES"/>
        </w:rPr>
        <w:t>*</w:t>
      </w:r>
    </w:p>
    <w:p w14:paraId="61647A6C" w14:textId="08A6BA43" w:rsidR="00167282" w:rsidRPr="003430BB" w:rsidRDefault="003430BB" w:rsidP="003406F2">
      <w:pPr>
        <w:jc w:val="both"/>
        <w:rPr>
          <w:i/>
          <w:iCs/>
          <w:lang w:val="es-ES"/>
        </w:rPr>
      </w:pPr>
      <w:r>
        <w:rPr>
          <w:i/>
          <w:iCs/>
          <w:lang w:val="es-ES"/>
        </w:rPr>
        <w:t>Un informe de supuestos y deseos no puede ser el justificante de una decisión tan trascendental como la de renunciar a nuestra riqueza del subsuelo a cambio de nada</w:t>
      </w:r>
    </w:p>
    <w:p w14:paraId="07BF1958" w14:textId="7A9A7081" w:rsidR="002D7BEB" w:rsidRDefault="004F6AFE" w:rsidP="003406F2">
      <w:pPr>
        <w:jc w:val="both"/>
        <w:rPr>
          <w:lang w:val="es-ES"/>
        </w:rPr>
      </w:pPr>
      <w:r>
        <w:rPr>
          <w:lang w:val="es-ES"/>
        </w:rPr>
        <w:t>Resulta i</w:t>
      </w:r>
      <w:r w:rsidR="002D7BEB">
        <w:rPr>
          <w:lang w:val="es-ES"/>
        </w:rPr>
        <w:t>nteresante</w:t>
      </w:r>
      <w:r>
        <w:rPr>
          <w:lang w:val="es-ES"/>
        </w:rPr>
        <w:t xml:space="preserve"> la</w:t>
      </w:r>
      <w:r w:rsidR="002D7BEB">
        <w:rPr>
          <w:lang w:val="es-ES"/>
        </w:rPr>
        <w:t xml:space="preserve"> lectura del informe del Ministerio de Minas y Energía titulado: </w:t>
      </w:r>
      <w:r w:rsidR="002F0E79">
        <w:rPr>
          <w:lang w:val="es-ES"/>
        </w:rPr>
        <w:t>“</w:t>
      </w:r>
      <w:r w:rsidR="002D7BEB" w:rsidRPr="00DD4D31">
        <w:rPr>
          <w:b/>
          <w:bCs/>
          <w:lang w:val="es-ES"/>
        </w:rPr>
        <w:t>Balance de Contratos de Hidrocarburos y Recursos Disponibles para la Transición Energética Justa</w:t>
      </w:r>
      <w:r w:rsidR="002F0E79">
        <w:rPr>
          <w:b/>
          <w:bCs/>
          <w:lang w:val="es-ES"/>
        </w:rPr>
        <w:t>”</w:t>
      </w:r>
      <w:r w:rsidR="002D7BEB">
        <w:rPr>
          <w:b/>
          <w:bCs/>
          <w:lang w:val="es-ES"/>
        </w:rPr>
        <w:t xml:space="preserve"> (diciembre 13 de 2022)</w:t>
      </w:r>
      <w:r w:rsidR="002D7BEB">
        <w:rPr>
          <w:lang w:val="es-ES"/>
        </w:rPr>
        <w:t xml:space="preserve">. Es ligero, fácil y hasta divertido de leer si no fuera por las consecuencias que puede tener </w:t>
      </w:r>
      <w:r w:rsidR="009F1628">
        <w:rPr>
          <w:lang w:val="es-ES"/>
        </w:rPr>
        <w:t>si</w:t>
      </w:r>
      <w:r w:rsidR="002D7BEB">
        <w:rPr>
          <w:lang w:val="es-ES"/>
        </w:rPr>
        <w:t xml:space="preserve"> la formulación de la política energética del país</w:t>
      </w:r>
      <w:r w:rsidR="009F1628">
        <w:rPr>
          <w:lang w:val="es-ES"/>
        </w:rPr>
        <w:t xml:space="preserve"> se basa</w:t>
      </w:r>
      <w:r w:rsidR="002F0E79">
        <w:rPr>
          <w:lang w:val="es-ES"/>
        </w:rPr>
        <w:t>ra</w:t>
      </w:r>
      <w:r w:rsidR="009F1628">
        <w:rPr>
          <w:lang w:val="es-ES"/>
        </w:rPr>
        <w:t xml:space="preserve"> en sus conclusiones</w:t>
      </w:r>
      <w:r w:rsidR="002D7BEB">
        <w:rPr>
          <w:lang w:val="es-ES"/>
        </w:rPr>
        <w:t>.</w:t>
      </w:r>
    </w:p>
    <w:p w14:paraId="28E80D61" w14:textId="4BAB0107" w:rsidR="002F0E79" w:rsidRDefault="002D7BEB" w:rsidP="003406F2">
      <w:pPr>
        <w:jc w:val="both"/>
        <w:rPr>
          <w:lang w:val="es-ES"/>
        </w:rPr>
      </w:pPr>
      <w:r>
        <w:rPr>
          <w:lang w:val="es-ES"/>
        </w:rPr>
        <w:t xml:space="preserve">Una primera alarma surgió cuando la Asociación Colombiana del Petróleo publicó </w:t>
      </w:r>
      <w:r w:rsidR="006A076A">
        <w:rPr>
          <w:lang w:val="es-ES"/>
        </w:rPr>
        <w:t xml:space="preserve">días después </w:t>
      </w:r>
      <w:r w:rsidR="002F0E79">
        <w:rPr>
          <w:lang w:val="es-ES"/>
        </w:rPr>
        <w:t xml:space="preserve">de </w:t>
      </w:r>
      <w:r w:rsidR="00BB1346">
        <w:rPr>
          <w:lang w:val="es-ES"/>
        </w:rPr>
        <w:t>conocerlo</w:t>
      </w:r>
      <w:r w:rsidR="009F1628">
        <w:rPr>
          <w:lang w:val="es-ES"/>
        </w:rPr>
        <w:t xml:space="preserve"> </w:t>
      </w:r>
      <w:r>
        <w:rPr>
          <w:lang w:val="es-ES"/>
        </w:rPr>
        <w:t>sus reparos</w:t>
      </w:r>
      <w:r w:rsidR="009F1628">
        <w:rPr>
          <w:lang w:val="es-ES"/>
        </w:rPr>
        <w:t>,</w:t>
      </w:r>
      <w:r>
        <w:rPr>
          <w:lang w:val="es-ES"/>
        </w:rPr>
        <w:t xml:space="preserve"> y otr</w:t>
      </w:r>
      <w:r w:rsidR="009F1628">
        <w:rPr>
          <w:lang w:val="es-ES"/>
        </w:rPr>
        <w:t xml:space="preserve">os medios </w:t>
      </w:r>
      <w:r>
        <w:rPr>
          <w:lang w:val="es-ES"/>
        </w:rPr>
        <w:t>especializad</w:t>
      </w:r>
      <w:r w:rsidR="00BB1346">
        <w:rPr>
          <w:lang w:val="es-ES"/>
        </w:rPr>
        <w:t>o</w:t>
      </w:r>
      <w:r>
        <w:rPr>
          <w:lang w:val="es-ES"/>
        </w:rPr>
        <w:t>s expresaron sus dudas. Posteriormente</w:t>
      </w:r>
      <w:r w:rsidR="00E4673D">
        <w:rPr>
          <w:lang w:val="es-ES"/>
        </w:rPr>
        <w:t>,</w:t>
      </w:r>
      <w:r>
        <w:rPr>
          <w:lang w:val="es-ES"/>
        </w:rPr>
        <w:t xml:space="preserve"> todas las alarmas saltaron cuando la ministra Irene Vélez anunció en la cumbre de Davos que la decisión de no conceder más contratos de</w:t>
      </w:r>
      <w:r w:rsidR="00BB1346">
        <w:rPr>
          <w:lang w:val="es-ES"/>
        </w:rPr>
        <w:t xml:space="preserve"> exploración y producción de</w:t>
      </w:r>
      <w:r>
        <w:rPr>
          <w:lang w:val="es-ES"/>
        </w:rPr>
        <w:t xml:space="preserve"> hidrocarburos ya había sido tomada, como muestra de </w:t>
      </w:r>
      <w:r w:rsidR="002F0E79">
        <w:rPr>
          <w:lang w:val="es-ES"/>
        </w:rPr>
        <w:t>‘</w:t>
      </w:r>
      <w:r>
        <w:rPr>
          <w:lang w:val="es-ES"/>
        </w:rPr>
        <w:t>nuestro</w:t>
      </w:r>
      <w:r w:rsidR="002F0E79">
        <w:rPr>
          <w:lang w:val="es-ES"/>
        </w:rPr>
        <w:t>’</w:t>
      </w:r>
      <w:r>
        <w:rPr>
          <w:lang w:val="es-ES"/>
        </w:rPr>
        <w:t xml:space="preserve"> compromiso con la lucha contra el cambio climático.  </w:t>
      </w:r>
      <w:r w:rsidR="006A076A">
        <w:rPr>
          <w:lang w:val="es-ES"/>
        </w:rPr>
        <w:t xml:space="preserve">El presidente Gustavo Petro la respaldó anunciando que en los pocos meses de su gobierno había logrado extender la autosuficiencia en gas hasta 2037 o 2042. A su regreso de Davos, la ministra </w:t>
      </w:r>
      <w:r w:rsidR="002F0E79">
        <w:rPr>
          <w:lang w:val="es-ES"/>
        </w:rPr>
        <w:t>justificó</w:t>
      </w:r>
      <w:r w:rsidR="006A076A">
        <w:rPr>
          <w:lang w:val="es-ES"/>
        </w:rPr>
        <w:t xml:space="preserve"> su anuncio en el citado informe. </w:t>
      </w:r>
    </w:p>
    <w:p w14:paraId="27EE9813" w14:textId="181CEE20" w:rsidR="002D7BEB" w:rsidRDefault="002D7BEB" w:rsidP="003406F2">
      <w:pPr>
        <w:jc w:val="both"/>
        <w:rPr>
          <w:lang w:val="es-ES"/>
        </w:rPr>
      </w:pPr>
      <w:r>
        <w:rPr>
          <w:lang w:val="es-ES"/>
        </w:rPr>
        <w:t xml:space="preserve">El pasado lunes, Caracol denunció que </w:t>
      </w:r>
      <w:r w:rsidR="006A076A">
        <w:rPr>
          <w:lang w:val="es-ES"/>
        </w:rPr>
        <w:t xml:space="preserve">el documento </w:t>
      </w:r>
      <w:r>
        <w:rPr>
          <w:lang w:val="es-ES"/>
        </w:rPr>
        <w:t xml:space="preserve">había </w:t>
      </w:r>
      <w:r w:rsidR="00BB1346">
        <w:rPr>
          <w:lang w:val="es-ES"/>
        </w:rPr>
        <w:t xml:space="preserve">sido </w:t>
      </w:r>
      <w:r>
        <w:rPr>
          <w:lang w:val="es-ES"/>
        </w:rPr>
        <w:t>publicado sin el consentimiento de los altos cargos del ministerio</w:t>
      </w:r>
      <w:r w:rsidR="006A076A">
        <w:rPr>
          <w:lang w:val="es-ES"/>
        </w:rPr>
        <w:t xml:space="preserve">, incluyendo el de la </w:t>
      </w:r>
      <w:r w:rsidR="00BB1346">
        <w:rPr>
          <w:lang w:val="es-ES"/>
        </w:rPr>
        <w:t>viceministra</w:t>
      </w:r>
      <w:r w:rsidR="006A076A">
        <w:rPr>
          <w:lang w:val="es-ES"/>
        </w:rPr>
        <w:t xml:space="preserve"> de Energía Belizza Ruiz,</w:t>
      </w:r>
      <w:r>
        <w:rPr>
          <w:lang w:val="es-ES"/>
        </w:rPr>
        <w:t xml:space="preserve"> ni de </w:t>
      </w:r>
      <w:r w:rsidR="006A076A">
        <w:rPr>
          <w:lang w:val="es-ES"/>
        </w:rPr>
        <w:t>los funcionarios</w:t>
      </w:r>
      <w:r w:rsidR="00BB1346">
        <w:rPr>
          <w:lang w:val="es-ES"/>
        </w:rPr>
        <w:t xml:space="preserve"> de</w:t>
      </w:r>
      <w:r w:rsidR="006A076A">
        <w:rPr>
          <w:lang w:val="es-ES"/>
        </w:rPr>
        <w:t xml:space="preserve"> </w:t>
      </w:r>
      <w:r>
        <w:rPr>
          <w:lang w:val="es-ES"/>
        </w:rPr>
        <w:t>la Agencia Nacional de Hidrocarburos</w:t>
      </w:r>
      <w:r w:rsidR="006A076A">
        <w:rPr>
          <w:lang w:val="es-ES"/>
        </w:rPr>
        <w:t xml:space="preserve"> mencionados en la carátula del informe</w:t>
      </w:r>
      <w:r>
        <w:rPr>
          <w:lang w:val="es-ES"/>
        </w:rPr>
        <w:t>.</w:t>
      </w:r>
    </w:p>
    <w:p w14:paraId="10B5B188" w14:textId="68B53C67" w:rsidR="006A076A" w:rsidRDefault="006A076A" w:rsidP="003406F2">
      <w:pPr>
        <w:jc w:val="both"/>
        <w:rPr>
          <w:lang w:val="es-ES"/>
        </w:rPr>
      </w:pPr>
      <w:r>
        <w:rPr>
          <w:lang w:val="es-ES"/>
        </w:rPr>
        <w:t xml:space="preserve">Más allá de las formalidades del informe, las cuales fueron aclaradas por la ministra en rueda de prensa el pasado miércoles 25, y que se pueden resumir en que (i)  </w:t>
      </w:r>
      <w:r w:rsidR="002F0E79">
        <w:rPr>
          <w:lang w:val="es-ES"/>
        </w:rPr>
        <w:t xml:space="preserve">publicar </w:t>
      </w:r>
      <w:r>
        <w:rPr>
          <w:lang w:val="es-ES"/>
        </w:rPr>
        <w:t xml:space="preserve">los cargos mencionados en la presentación del documento son </w:t>
      </w:r>
      <w:r w:rsidR="009F1628">
        <w:rPr>
          <w:lang w:val="es-ES"/>
        </w:rPr>
        <w:t>práctica</w:t>
      </w:r>
      <w:r>
        <w:rPr>
          <w:lang w:val="es-ES"/>
        </w:rPr>
        <w:t xml:space="preserve"> protocolaria</w:t>
      </w:r>
      <w:r w:rsidR="009F1628">
        <w:rPr>
          <w:lang w:val="es-ES"/>
        </w:rPr>
        <w:t xml:space="preserve"> común</w:t>
      </w:r>
      <w:r>
        <w:rPr>
          <w:lang w:val="es-ES"/>
        </w:rPr>
        <w:t>; (ii) todos ellos sabían que se estaba preparando un informe;  (iii) no se trata de un informe de recursos y reservas; y (iv) que es un informe del ministerio, no de la ANH, que fue preparado por dos asesores directos del despacho</w:t>
      </w:r>
      <w:r w:rsidR="00C1506A">
        <w:rPr>
          <w:lang w:val="es-ES"/>
        </w:rPr>
        <w:t>, q</w:t>
      </w:r>
      <w:r>
        <w:rPr>
          <w:lang w:val="es-ES"/>
        </w:rPr>
        <w:t>ue</w:t>
      </w:r>
      <w:r w:rsidR="004C73EC">
        <w:rPr>
          <w:lang w:val="es-ES"/>
        </w:rPr>
        <w:t>da</w:t>
      </w:r>
      <w:r>
        <w:rPr>
          <w:lang w:val="es-ES"/>
        </w:rPr>
        <w:t xml:space="preserve"> claro </w:t>
      </w:r>
      <w:r w:rsidR="009F1628">
        <w:rPr>
          <w:lang w:val="es-ES"/>
        </w:rPr>
        <w:t>cuál</w:t>
      </w:r>
      <w:r>
        <w:rPr>
          <w:lang w:val="es-ES"/>
        </w:rPr>
        <w:t xml:space="preserve"> es la naturaleza del informe y su objetivo</w:t>
      </w:r>
      <w:r w:rsidR="00C1506A">
        <w:rPr>
          <w:lang w:val="es-ES"/>
        </w:rPr>
        <w:t>.</w:t>
      </w:r>
    </w:p>
    <w:p w14:paraId="6D584AF1" w14:textId="55B88A38" w:rsidR="00BB1346" w:rsidRDefault="004C73EC" w:rsidP="003406F2">
      <w:pPr>
        <w:jc w:val="both"/>
        <w:rPr>
          <w:lang w:val="es-ES"/>
        </w:rPr>
      </w:pPr>
      <w:r>
        <w:rPr>
          <w:lang w:val="es-ES"/>
        </w:rPr>
        <w:t xml:space="preserve">En este espacio no se puede hacer un análisis exhaustivo del </w:t>
      </w:r>
      <w:r w:rsidR="00BB1346">
        <w:rPr>
          <w:lang w:val="es-ES"/>
        </w:rPr>
        <w:t>informe,</w:t>
      </w:r>
      <w:r>
        <w:rPr>
          <w:lang w:val="es-ES"/>
        </w:rPr>
        <w:t xml:space="preserve"> pero sí tratar</w:t>
      </w:r>
      <w:r w:rsidR="00BB1346">
        <w:rPr>
          <w:lang w:val="es-ES"/>
        </w:rPr>
        <w:t>emos</w:t>
      </w:r>
      <w:r>
        <w:rPr>
          <w:lang w:val="es-ES"/>
        </w:rPr>
        <w:t xml:space="preserve"> de entender su naturaleza: es un ejercicio de </w:t>
      </w:r>
      <w:r w:rsidR="002F0E79">
        <w:rPr>
          <w:lang w:val="es-ES"/>
        </w:rPr>
        <w:t>‘</w:t>
      </w:r>
      <w:r>
        <w:rPr>
          <w:lang w:val="es-ES"/>
        </w:rPr>
        <w:t>control de daño</w:t>
      </w:r>
      <w:r w:rsidR="002F0E79">
        <w:rPr>
          <w:lang w:val="es-ES"/>
        </w:rPr>
        <w:t>’</w:t>
      </w:r>
      <w:r>
        <w:rPr>
          <w:lang w:val="es-ES"/>
        </w:rPr>
        <w:t xml:space="preserve"> que busca identificar escenarios </w:t>
      </w:r>
      <w:r w:rsidR="002F0E79">
        <w:rPr>
          <w:lang w:val="es-ES"/>
        </w:rPr>
        <w:t>para</w:t>
      </w:r>
      <w:r>
        <w:rPr>
          <w:lang w:val="es-ES"/>
        </w:rPr>
        <w:t xml:space="preserve"> justificar que la decisión tomada no va a afectar la seguridad energética del país durante la transición energética.  Solo así se entiende su metodología, que hace estimaciones especulativas sobre posibles escenarios de adiciones de reservas</w:t>
      </w:r>
      <w:r w:rsidR="009F1628">
        <w:rPr>
          <w:lang w:val="es-ES"/>
        </w:rPr>
        <w:t>, tales como</w:t>
      </w:r>
      <w:r>
        <w:rPr>
          <w:lang w:val="es-ES"/>
        </w:rPr>
        <w:t xml:space="preserve">: </w:t>
      </w:r>
    </w:p>
    <w:p w14:paraId="010D885D" w14:textId="229935C8" w:rsidR="00BB1346" w:rsidRPr="00E4673D" w:rsidRDefault="00E4673D" w:rsidP="00E4673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M</w:t>
      </w:r>
      <w:r w:rsidR="004C73EC" w:rsidRPr="00E4673D">
        <w:rPr>
          <w:lang w:val="es-ES"/>
        </w:rPr>
        <w:t>ejorar el recobro histórico de los recursos de petróleo ya descubiertos</w:t>
      </w:r>
      <w:r w:rsidR="002C2BB6" w:rsidRPr="00E4673D">
        <w:rPr>
          <w:lang w:val="es-ES"/>
        </w:rPr>
        <w:t xml:space="preserve"> (de 15,8% a 20,2%)</w:t>
      </w:r>
      <w:r w:rsidR="004C73EC" w:rsidRPr="00E4673D">
        <w:rPr>
          <w:lang w:val="es-ES"/>
        </w:rPr>
        <w:t xml:space="preserve">; </w:t>
      </w:r>
    </w:p>
    <w:p w14:paraId="323FCC88" w14:textId="2600C3EA" w:rsidR="00BB1346" w:rsidRPr="00E4673D" w:rsidRDefault="00E4673D" w:rsidP="00E4673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A</w:t>
      </w:r>
      <w:r w:rsidR="004C73EC" w:rsidRPr="00E4673D">
        <w:rPr>
          <w:lang w:val="es-ES"/>
        </w:rPr>
        <w:t>plicar técnicas de recobro mejorado de petróleo para llegar al promedio histórico global (35%</w:t>
      </w:r>
      <w:r w:rsidR="00D23C09" w:rsidRPr="00E4673D">
        <w:rPr>
          <w:lang w:val="es-ES"/>
        </w:rPr>
        <w:t>);</w:t>
      </w:r>
      <w:r w:rsidR="004C73EC" w:rsidRPr="00E4673D">
        <w:rPr>
          <w:lang w:val="es-ES"/>
        </w:rPr>
        <w:t xml:space="preserve"> y </w:t>
      </w:r>
    </w:p>
    <w:p w14:paraId="2B9C91E2" w14:textId="79635036" w:rsidR="006A076A" w:rsidRPr="00E4673D" w:rsidRDefault="00E4673D" w:rsidP="00E4673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A</w:t>
      </w:r>
      <w:r w:rsidR="004C73EC" w:rsidRPr="00E4673D">
        <w:rPr>
          <w:lang w:val="es-ES"/>
        </w:rPr>
        <w:t xml:space="preserve">segurar el desarrollo de tres </w:t>
      </w:r>
      <w:r w:rsidR="00C1506A" w:rsidRPr="00E4673D">
        <w:rPr>
          <w:lang w:val="es-ES"/>
        </w:rPr>
        <w:t xml:space="preserve">grandes </w:t>
      </w:r>
      <w:r w:rsidR="004C73EC" w:rsidRPr="00E4673D">
        <w:rPr>
          <w:lang w:val="es-ES"/>
        </w:rPr>
        <w:t>descubrimientos de gas recientes (</w:t>
      </w:r>
      <w:r w:rsidR="002C2BB6" w:rsidRPr="00E4673D">
        <w:rPr>
          <w:rFonts w:cstheme="minorHAnsi"/>
          <w:lang w:val="es-ES"/>
        </w:rPr>
        <w:t>[</w:t>
      </w:r>
      <w:r w:rsidR="004C73EC" w:rsidRPr="00E4673D">
        <w:rPr>
          <w:lang w:val="es-ES"/>
        </w:rPr>
        <w:t>K</w:t>
      </w:r>
      <w:r w:rsidR="002C2BB6" w:rsidRPr="00E4673D">
        <w:rPr>
          <w:rFonts w:cstheme="minorHAnsi"/>
          <w:lang w:val="es-ES"/>
        </w:rPr>
        <w:t>]</w:t>
      </w:r>
      <w:r w:rsidR="004C73EC" w:rsidRPr="00E4673D">
        <w:rPr>
          <w:lang w:val="es-ES"/>
        </w:rPr>
        <w:t xml:space="preserve">ronos-Gorgon, Uchuva y Sinú 9) en tiempos récord, </w:t>
      </w:r>
      <w:r w:rsidR="001612DE" w:rsidRPr="00E4673D">
        <w:rPr>
          <w:lang w:val="es-ES"/>
        </w:rPr>
        <w:t xml:space="preserve">entre 2024 y 2027, </w:t>
      </w:r>
      <w:r w:rsidR="004C73EC" w:rsidRPr="00E4673D">
        <w:rPr>
          <w:lang w:val="es-ES"/>
        </w:rPr>
        <w:t xml:space="preserve">lo cual graduaría a reservas unos </w:t>
      </w:r>
      <w:r w:rsidR="002C2BB6" w:rsidRPr="00E4673D">
        <w:rPr>
          <w:lang w:val="es-ES"/>
        </w:rPr>
        <w:t xml:space="preserve">sustanciales </w:t>
      </w:r>
      <w:r w:rsidR="004C73EC" w:rsidRPr="00E4673D">
        <w:rPr>
          <w:lang w:val="es-ES"/>
        </w:rPr>
        <w:t xml:space="preserve">recursos contingentes </w:t>
      </w:r>
      <w:r w:rsidR="002C2BB6" w:rsidRPr="00E4673D">
        <w:rPr>
          <w:lang w:val="es-ES"/>
        </w:rPr>
        <w:t>y prospectivos</w:t>
      </w:r>
      <w:r w:rsidR="004C73EC" w:rsidRPr="00E4673D">
        <w:rPr>
          <w:lang w:val="es-ES"/>
        </w:rPr>
        <w:t>.</w:t>
      </w:r>
    </w:p>
    <w:p w14:paraId="214FAF71" w14:textId="692646F2" w:rsidR="001612DE" w:rsidRDefault="002C2BB6" w:rsidP="003406F2">
      <w:pPr>
        <w:jc w:val="both"/>
        <w:rPr>
          <w:lang w:val="es-ES"/>
        </w:rPr>
      </w:pPr>
      <w:r>
        <w:rPr>
          <w:lang w:val="es-ES"/>
        </w:rPr>
        <w:t>En resumen, se adicionaría</w:t>
      </w:r>
      <w:r w:rsidR="00BB1346">
        <w:rPr>
          <w:lang w:val="es-ES"/>
        </w:rPr>
        <w:t>n</w:t>
      </w:r>
      <w:r>
        <w:rPr>
          <w:lang w:val="es-ES"/>
        </w:rPr>
        <w:t xml:space="preserve"> las reservas de petróleo en </w:t>
      </w:r>
      <w:r w:rsidR="004F6AFE">
        <w:rPr>
          <w:lang w:val="es-ES"/>
        </w:rPr>
        <w:t>986</w:t>
      </w:r>
      <w:r>
        <w:rPr>
          <w:lang w:val="es-ES"/>
        </w:rPr>
        <w:t xml:space="preserve"> millones de barriles</w:t>
      </w:r>
      <w:r w:rsidR="007B2466">
        <w:rPr>
          <w:lang w:val="es-ES"/>
        </w:rPr>
        <w:t xml:space="preserve"> </w:t>
      </w:r>
      <w:r>
        <w:rPr>
          <w:lang w:val="es-ES"/>
        </w:rPr>
        <w:t>con los resultados esperados de los contratos en exploración</w:t>
      </w:r>
      <w:r w:rsidR="002F0E79">
        <w:rPr>
          <w:lang w:val="es-ES"/>
        </w:rPr>
        <w:t xml:space="preserve"> remanentes</w:t>
      </w:r>
      <w:r w:rsidR="004F6AFE">
        <w:rPr>
          <w:rStyle w:val="FootnoteReference"/>
          <w:lang w:val="es-ES"/>
        </w:rPr>
        <w:footnoteReference w:id="1"/>
      </w:r>
      <w:r>
        <w:rPr>
          <w:lang w:val="es-ES"/>
        </w:rPr>
        <w:t>, 2.971 millones de barriles con la optimización del recobro primario</w:t>
      </w:r>
      <w:r w:rsidR="002F0E79">
        <w:rPr>
          <w:lang w:val="es-ES"/>
        </w:rPr>
        <w:t>,</w:t>
      </w:r>
      <w:r>
        <w:rPr>
          <w:lang w:val="es-ES"/>
        </w:rPr>
        <w:t xml:space="preserve"> y </w:t>
      </w:r>
      <w:r w:rsidR="001612DE">
        <w:rPr>
          <w:lang w:val="es-ES"/>
        </w:rPr>
        <w:t xml:space="preserve">hasta </w:t>
      </w:r>
      <w:r w:rsidR="007B2466">
        <w:rPr>
          <w:lang w:val="es-ES"/>
        </w:rPr>
        <w:t xml:space="preserve">12.900 millones </w:t>
      </w:r>
      <w:r w:rsidR="001612DE">
        <w:rPr>
          <w:lang w:val="es-ES"/>
        </w:rPr>
        <w:t>de barriles</w:t>
      </w:r>
      <w:r w:rsidR="007B2466">
        <w:rPr>
          <w:lang w:val="es-ES"/>
        </w:rPr>
        <w:t xml:space="preserve"> con </w:t>
      </w:r>
      <w:r w:rsidR="001612DE">
        <w:rPr>
          <w:lang w:val="es-ES"/>
        </w:rPr>
        <w:t xml:space="preserve">el uso de </w:t>
      </w:r>
      <w:r w:rsidR="007B2466">
        <w:rPr>
          <w:lang w:val="es-ES"/>
        </w:rPr>
        <w:lastRenderedPageBreak/>
        <w:t>técnicas de recobro mejorado</w:t>
      </w:r>
      <w:r w:rsidR="001612DE">
        <w:rPr>
          <w:lang w:val="es-ES"/>
        </w:rPr>
        <w:t xml:space="preserve">; es decir, 10.000 millones más, </w:t>
      </w:r>
      <w:proofErr w:type="gramStart"/>
      <w:r w:rsidR="009F1628">
        <w:rPr>
          <w:lang w:val="es-ES"/>
        </w:rPr>
        <w:t>un cifra similar</w:t>
      </w:r>
      <w:proofErr w:type="gramEnd"/>
      <w:r w:rsidR="001612DE">
        <w:rPr>
          <w:lang w:val="es-ES"/>
        </w:rPr>
        <w:t xml:space="preserve"> </w:t>
      </w:r>
      <w:r w:rsidR="0092617B">
        <w:rPr>
          <w:lang w:val="es-ES"/>
        </w:rPr>
        <w:t>a</w:t>
      </w:r>
      <w:r w:rsidR="001612DE">
        <w:rPr>
          <w:lang w:val="es-ES"/>
        </w:rPr>
        <w:t xml:space="preserve">l total de reservas que se han </w:t>
      </w:r>
      <w:r w:rsidR="009F1628">
        <w:rPr>
          <w:lang w:val="es-ES"/>
        </w:rPr>
        <w:t>incorporado</w:t>
      </w:r>
      <w:r w:rsidR="001612DE">
        <w:rPr>
          <w:lang w:val="es-ES"/>
        </w:rPr>
        <w:t xml:space="preserve"> en los </w:t>
      </w:r>
      <w:r w:rsidR="00F56404">
        <w:rPr>
          <w:lang w:val="es-ES"/>
        </w:rPr>
        <w:t xml:space="preserve">casi </w:t>
      </w:r>
      <w:r w:rsidR="001612DE">
        <w:rPr>
          <w:lang w:val="es-ES"/>
        </w:rPr>
        <w:t>1</w:t>
      </w:r>
      <w:r w:rsidR="00F56404">
        <w:rPr>
          <w:lang w:val="es-ES"/>
        </w:rPr>
        <w:t>20</w:t>
      </w:r>
      <w:r w:rsidR="001612DE">
        <w:rPr>
          <w:lang w:val="es-ES"/>
        </w:rPr>
        <w:t xml:space="preserve"> años de historia de esta industria en </w:t>
      </w:r>
      <w:r w:rsidR="004F6AFE">
        <w:rPr>
          <w:lang w:val="es-ES"/>
        </w:rPr>
        <w:t>Colombia</w:t>
      </w:r>
      <w:r w:rsidR="001612DE">
        <w:rPr>
          <w:lang w:val="es-ES"/>
        </w:rPr>
        <w:t xml:space="preserve">.  </w:t>
      </w:r>
    </w:p>
    <w:p w14:paraId="794095B9" w14:textId="6B1F65A6" w:rsidR="002C2BB6" w:rsidRDefault="001612DE" w:rsidP="003406F2">
      <w:pPr>
        <w:jc w:val="both"/>
        <w:rPr>
          <w:lang w:val="es-ES"/>
        </w:rPr>
      </w:pPr>
      <w:r>
        <w:rPr>
          <w:lang w:val="es-ES"/>
        </w:rPr>
        <w:t>En gas, se adicionaría</w:t>
      </w:r>
      <w:r w:rsidR="00BB1346">
        <w:rPr>
          <w:lang w:val="es-ES"/>
        </w:rPr>
        <w:t>n</w:t>
      </w:r>
      <w:r>
        <w:rPr>
          <w:lang w:val="es-ES"/>
        </w:rPr>
        <w:t xml:space="preserve"> </w:t>
      </w:r>
      <w:r w:rsidR="00AA01FD">
        <w:rPr>
          <w:lang w:val="es-ES"/>
        </w:rPr>
        <w:t xml:space="preserve">2,5 Terapies cúbicos (TCF) a las reservas actuales de 3 TCF; es decir, un </w:t>
      </w:r>
      <w:r w:rsidR="001203FD">
        <w:rPr>
          <w:lang w:val="es-ES"/>
        </w:rPr>
        <w:t xml:space="preserve">83% de aumento, </w:t>
      </w:r>
      <w:r w:rsidR="00AA01FD">
        <w:rPr>
          <w:lang w:val="es-ES"/>
        </w:rPr>
        <w:t xml:space="preserve">con recursos contingentes </w:t>
      </w:r>
      <w:r w:rsidR="00D23C09">
        <w:rPr>
          <w:lang w:val="es-ES"/>
        </w:rPr>
        <w:t xml:space="preserve">(i.e. no asegurados) </w:t>
      </w:r>
      <w:r w:rsidR="00AA01FD">
        <w:rPr>
          <w:lang w:val="es-ES"/>
        </w:rPr>
        <w:t xml:space="preserve">provenientes de los tres descubrimientos </w:t>
      </w:r>
      <w:r w:rsidR="00C1506A">
        <w:rPr>
          <w:lang w:val="es-ES"/>
        </w:rPr>
        <w:t xml:space="preserve">arriba </w:t>
      </w:r>
      <w:r w:rsidR="00AA01FD">
        <w:rPr>
          <w:lang w:val="es-ES"/>
        </w:rPr>
        <w:t xml:space="preserve">mencionados: Sinú 9 en 2026 y </w:t>
      </w:r>
      <w:r w:rsidR="00AA01FD">
        <w:rPr>
          <w:rFonts w:cstheme="minorHAnsi"/>
          <w:lang w:val="es-ES"/>
        </w:rPr>
        <w:t>[</w:t>
      </w:r>
      <w:r w:rsidR="00AA01FD">
        <w:rPr>
          <w:lang w:val="es-ES"/>
        </w:rPr>
        <w:t>K</w:t>
      </w:r>
      <w:r w:rsidR="00AA01FD">
        <w:rPr>
          <w:rFonts w:cstheme="minorHAnsi"/>
          <w:lang w:val="es-ES"/>
        </w:rPr>
        <w:t>]</w:t>
      </w:r>
      <w:r w:rsidR="00AA01FD">
        <w:rPr>
          <w:lang w:val="es-ES"/>
        </w:rPr>
        <w:t xml:space="preserve">ronos-Gorgon en 2027. Estas adiciones garantizarían (de hacerse efectivas en esas fechas) la autosuficiencia hasta 2037.  </w:t>
      </w:r>
      <w:r w:rsidR="00F56404">
        <w:rPr>
          <w:lang w:val="es-ES"/>
        </w:rPr>
        <w:t>El informe da a entender que u</w:t>
      </w:r>
      <w:r w:rsidR="00AA01FD">
        <w:rPr>
          <w:lang w:val="es-ES"/>
        </w:rPr>
        <w:t>nos volúmenes similares de recursos prospectivos garantizarían el autoabastecimiento hasta 2042, y generarían excedentes para la exportación</w:t>
      </w:r>
      <w:r w:rsidR="009F1628">
        <w:rPr>
          <w:lang w:val="es-ES"/>
        </w:rPr>
        <w:t>,</w:t>
      </w:r>
      <w:r w:rsidR="00AA01FD">
        <w:rPr>
          <w:lang w:val="es-ES"/>
        </w:rPr>
        <w:t xml:space="preserve"> </w:t>
      </w:r>
      <w:r w:rsidR="009F1628">
        <w:rPr>
          <w:lang w:val="es-ES"/>
        </w:rPr>
        <w:t>similares</w:t>
      </w:r>
      <w:r w:rsidR="00AA01FD">
        <w:rPr>
          <w:lang w:val="es-ES"/>
        </w:rPr>
        <w:t xml:space="preserve"> </w:t>
      </w:r>
      <w:r w:rsidR="009F1628">
        <w:rPr>
          <w:lang w:val="es-ES"/>
        </w:rPr>
        <w:t>al</w:t>
      </w:r>
      <w:r w:rsidR="00AA01FD">
        <w:rPr>
          <w:lang w:val="es-ES"/>
        </w:rPr>
        <w:t xml:space="preserve"> consumo doméstico</w:t>
      </w:r>
      <w:r w:rsidR="009F1628">
        <w:rPr>
          <w:lang w:val="es-ES"/>
        </w:rPr>
        <w:t>,</w:t>
      </w:r>
      <w:r w:rsidR="00AA01FD">
        <w:rPr>
          <w:lang w:val="es-ES"/>
        </w:rPr>
        <w:t xml:space="preserve"> entre 2035 y 2038.</w:t>
      </w:r>
    </w:p>
    <w:p w14:paraId="28776708" w14:textId="6AC1ABEE" w:rsidR="009F1628" w:rsidRDefault="009F1628" w:rsidP="003406F2">
      <w:pPr>
        <w:jc w:val="both"/>
        <w:rPr>
          <w:lang w:val="es-ES"/>
        </w:rPr>
      </w:pPr>
      <w:r>
        <w:rPr>
          <w:lang w:val="es-ES"/>
        </w:rPr>
        <w:t>También ha sido clara la ministra en varios escenarios, públicos y privados, que la decisión de no firmar más contratos fue tomada desde que se presentó el programa</w:t>
      </w:r>
      <w:r w:rsidR="002813DF">
        <w:rPr>
          <w:lang w:val="es-ES"/>
        </w:rPr>
        <w:t xml:space="preserve"> de gobierno previo a las pasadas elecciones, como lo ha ratificado el presidente Petro.  </w:t>
      </w:r>
      <w:r w:rsidR="00C1506A">
        <w:rPr>
          <w:lang w:val="es-ES"/>
        </w:rPr>
        <w:t>En efecto, s</w:t>
      </w:r>
      <w:r w:rsidR="002813DF">
        <w:rPr>
          <w:lang w:val="es-ES"/>
        </w:rPr>
        <w:t xml:space="preserve">u </w:t>
      </w:r>
      <w:r w:rsidR="002F0E79">
        <w:rPr>
          <w:lang w:val="es-ES"/>
        </w:rPr>
        <w:t>propuesta</w:t>
      </w:r>
      <w:r w:rsidR="002813DF">
        <w:rPr>
          <w:lang w:val="es-ES"/>
        </w:rPr>
        <w:t xml:space="preserve"> de gobierno así lo dice con toda claridad. La ministra</w:t>
      </w:r>
      <w:r w:rsidR="00BB1346">
        <w:rPr>
          <w:lang w:val="es-ES"/>
        </w:rPr>
        <w:t xml:space="preserve"> </w:t>
      </w:r>
      <w:r w:rsidR="002813DF">
        <w:rPr>
          <w:lang w:val="es-ES"/>
        </w:rPr>
        <w:t>espera que todas las instituciones del gobierno y sus funcionarios respalden esta decisión.</w:t>
      </w:r>
    </w:p>
    <w:p w14:paraId="37A9A319" w14:textId="3C943A17" w:rsidR="002F0E79" w:rsidRDefault="002813DF" w:rsidP="003406F2">
      <w:pPr>
        <w:jc w:val="both"/>
        <w:rPr>
          <w:lang w:val="es-ES"/>
        </w:rPr>
      </w:pPr>
      <w:r>
        <w:rPr>
          <w:lang w:val="es-ES"/>
        </w:rPr>
        <w:t xml:space="preserve">Tomada la decisión, </w:t>
      </w:r>
      <w:r w:rsidR="009E7406">
        <w:rPr>
          <w:lang w:val="es-ES"/>
        </w:rPr>
        <w:t>pareciera que la ministra quiere</w:t>
      </w:r>
      <w:r>
        <w:rPr>
          <w:lang w:val="es-ES"/>
        </w:rPr>
        <w:t xml:space="preserve"> ofrecer tranquilidad a los colombianos y cerrar la discusión con unas cuentas optimistas, basadas en probabilidades y fechas estimadas de éxitos exploratorios esperados y de </w:t>
      </w:r>
      <w:r w:rsidR="002F0E79">
        <w:rPr>
          <w:lang w:val="es-ES"/>
        </w:rPr>
        <w:t xml:space="preserve">futuras </w:t>
      </w:r>
      <w:r>
        <w:rPr>
          <w:lang w:val="es-ES"/>
        </w:rPr>
        <w:t xml:space="preserve">decisiones de inversión </w:t>
      </w:r>
      <w:r w:rsidR="002F0E79">
        <w:rPr>
          <w:lang w:val="es-ES"/>
        </w:rPr>
        <w:t>por parte</w:t>
      </w:r>
      <w:r>
        <w:rPr>
          <w:lang w:val="es-ES"/>
        </w:rPr>
        <w:t xml:space="preserve"> de terceros.  </w:t>
      </w:r>
      <w:r w:rsidR="001203FD">
        <w:rPr>
          <w:lang w:val="es-ES"/>
        </w:rPr>
        <w:t xml:space="preserve">Es decir, el </w:t>
      </w:r>
      <w:r w:rsidR="00262D42">
        <w:rPr>
          <w:lang w:val="es-ES"/>
        </w:rPr>
        <w:t xml:space="preserve">posterior </w:t>
      </w:r>
      <w:r w:rsidR="001203FD">
        <w:rPr>
          <w:lang w:val="es-ES"/>
        </w:rPr>
        <w:t>informe justifica la decisión, y no lo contrario</w:t>
      </w:r>
      <w:r w:rsidR="00262D42">
        <w:rPr>
          <w:lang w:val="es-ES"/>
        </w:rPr>
        <w:t>, como debiera ser</w:t>
      </w:r>
      <w:r w:rsidR="001203FD">
        <w:rPr>
          <w:lang w:val="es-ES"/>
        </w:rPr>
        <w:t>.</w:t>
      </w:r>
    </w:p>
    <w:p w14:paraId="3FC3A263" w14:textId="1DB22915" w:rsidR="002813DF" w:rsidRDefault="002813DF" w:rsidP="003406F2">
      <w:pPr>
        <w:jc w:val="both"/>
        <w:rPr>
          <w:lang w:val="es-ES"/>
        </w:rPr>
      </w:pPr>
      <w:r>
        <w:rPr>
          <w:lang w:val="es-ES"/>
        </w:rPr>
        <w:t xml:space="preserve">Todos sabemos que los planes de gobierno siempre son optimistas y exagerados y su ejecución incierta y llena de imprevistos, pero esta industria es más </w:t>
      </w:r>
      <w:r w:rsidR="00C1506A">
        <w:rPr>
          <w:lang w:val="es-ES"/>
        </w:rPr>
        <w:t xml:space="preserve">grande, </w:t>
      </w:r>
      <w:r>
        <w:rPr>
          <w:lang w:val="es-ES"/>
        </w:rPr>
        <w:t xml:space="preserve">compleja y volátil que la construcción de colegios o viviendas de interés social, y </w:t>
      </w:r>
      <w:r w:rsidR="002F0E79">
        <w:rPr>
          <w:lang w:val="es-ES"/>
        </w:rPr>
        <w:t>aún que</w:t>
      </w:r>
      <w:r>
        <w:rPr>
          <w:lang w:val="es-ES"/>
        </w:rPr>
        <w:t xml:space="preserve"> el modelo de aseo de Bogotá.</w:t>
      </w:r>
    </w:p>
    <w:p w14:paraId="7BAA5A38" w14:textId="3EF86C63" w:rsidR="002813DF" w:rsidRDefault="002813DF" w:rsidP="003406F2">
      <w:pPr>
        <w:jc w:val="both"/>
        <w:rPr>
          <w:lang w:val="es-ES"/>
        </w:rPr>
      </w:pPr>
      <w:r>
        <w:rPr>
          <w:lang w:val="es-ES"/>
        </w:rPr>
        <w:t>Bogotá, 2</w:t>
      </w:r>
      <w:r w:rsidR="002F0E79">
        <w:rPr>
          <w:lang w:val="es-ES"/>
        </w:rPr>
        <w:t>8</w:t>
      </w:r>
      <w:r>
        <w:rPr>
          <w:lang w:val="es-ES"/>
        </w:rPr>
        <w:t xml:space="preserve"> de enero de 2022</w:t>
      </w:r>
    </w:p>
    <w:p w14:paraId="6BED4111" w14:textId="5DFAA1AF" w:rsidR="00AA01FD" w:rsidRDefault="00AA01FD" w:rsidP="003406F2">
      <w:pPr>
        <w:jc w:val="both"/>
        <w:rPr>
          <w:lang w:val="es-ES"/>
        </w:rPr>
      </w:pPr>
    </w:p>
    <w:p w14:paraId="7319A504" w14:textId="56B00F14" w:rsidR="00A4726B" w:rsidRPr="00A4726B" w:rsidRDefault="00A4726B" w:rsidP="003406F2">
      <w:pPr>
        <w:jc w:val="both"/>
        <w:rPr>
          <w:lang w:val="es-ES"/>
        </w:rPr>
      </w:pPr>
      <w:r>
        <w:rPr>
          <w:lang w:val="es-ES"/>
        </w:rPr>
        <w:t>* E</w:t>
      </w:r>
      <w:r w:rsidRPr="00A4726B">
        <w:rPr>
          <w:lang w:val="es-ES"/>
        </w:rPr>
        <w:t>xpresidente de la Agencia Nacional de Hidrocarburos</w:t>
      </w:r>
    </w:p>
    <w:sectPr w:rsidR="00A4726B" w:rsidRPr="00A4726B" w:rsidSect="001E0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A810" w14:textId="77777777" w:rsidR="00B315C9" w:rsidRDefault="00B315C9" w:rsidP="004F6AFE">
      <w:pPr>
        <w:spacing w:after="0" w:line="240" w:lineRule="auto"/>
      </w:pPr>
      <w:r>
        <w:separator/>
      </w:r>
    </w:p>
  </w:endnote>
  <w:endnote w:type="continuationSeparator" w:id="0">
    <w:p w14:paraId="75A4F426" w14:textId="77777777" w:rsidR="00B315C9" w:rsidRDefault="00B315C9" w:rsidP="004F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FF7E" w14:textId="77777777" w:rsidR="00B315C9" w:rsidRDefault="00B315C9" w:rsidP="004F6AFE">
      <w:pPr>
        <w:spacing w:after="0" w:line="240" w:lineRule="auto"/>
      </w:pPr>
      <w:r>
        <w:separator/>
      </w:r>
    </w:p>
  </w:footnote>
  <w:footnote w:type="continuationSeparator" w:id="0">
    <w:p w14:paraId="61935CC5" w14:textId="77777777" w:rsidR="00B315C9" w:rsidRDefault="00B315C9" w:rsidP="004F6AFE">
      <w:pPr>
        <w:spacing w:after="0" w:line="240" w:lineRule="auto"/>
      </w:pPr>
      <w:r>
        <w:continuationSeparator/>
      </w:r>
    </w:p>
  </w:footnote>
  <w:footnote w:id="1">
    <w:p w14:paraId="44DB0280" w14:textId="755ED7C6" w:rsidR="004F6AFE" w:rsidRPr="004F6AFE" w:rsidRDefault="004F6AF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F6AFE">
        <w:rPr>
          <w:lang w:val="es-ES"/>
        </w:rPr>
        <w:t xml:space="preserve"> </w:t>
      </w:r>
      <w:r>
        <w:rPr>
          <w:lang w:val="es-ES"/>
        </w:rPr>
        <w:t xml:space="preserve">Cifra que </w:t>
      </w:r>
      <w:r w:rsidR="00F56404">
        <w:rPr>
          <w:lang w:val="es-ES"/>
        </w:rPr>
        <w:t xml:space="preserve">en esencia </w:t>
      </w:r>
      <w:r>
        <w:rPr>
          <w:lang w:val="es-ES"/>
        </w:rPr>
        <w:t>coincide con los estimativos estadísticos del autor.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D46"/>
    <w:multiLevelType w:val="hybridMultilevel"/>
    <w:tmpl w:val="AC0CCA94"/>
    <w:lvl w:ilvl="0" w:tplc="1F52F4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529"/>
    <w:multiLevelType w:val="hybridMultilevel"/>
    <w:tmpl w:val="FFDE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6D65"/>
    <w:multiLevelType w:val="hybridMultilevel"/>
    <w:tmpl w:val="009CCE4E"/>
    <w:lvl w:ilvl="0" w:tplc="00B459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26E3E"/>
    <w:multiLevelType w:val="hybridMultilevel"/>
    <w:tmpl w:val="6AB625D0"/>
    <w:lvl w:ilvl="0" w:tplc="81C03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76338">
    <w:abstractNumId w:val="0"/>
  </w:num>
  <w:num w:numId="2" w16cid:durableId="233785308">
    <w:abstractNumId w:val="2"/>
  </w:num>
  <w:num w:numId="3" w16cid:durableId="704254932">
    <w:abstractNumId w:val="1"/>
  </w:num>
  <w:num w:numId="4" w16cid:durableId="300963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B"/>
    <w:rsid w:val="00100326"/>
    <w:rsid w:val="001203FD"/>
    <w:rsid w:val="001612DE"/>
    <w:rsid w:val="00167282"/>
    <w:rsid w:val="00174E64"/>
    <w:rsid w:val="001E0842"/>
    <w:rsid w:val="00262D42"/>
    <w:rsid w:val="00267DE7"/>
    <w:rsid w:val="002813DF"/>
    <w:rsid w:val="002C2BB6"/>
    <w:rsid w:val="002D7BEB"/>
    <w:rsid w:val="002F0E79"/>
    <w:rsid w:val="002F4AA5"/>
    <w:rsid w:val="003406F2"/>
    <w:rsid w:val="003430BB"/>
    <w:rsid w:val="004C73EC"/>
    <w:rsid w:val="004F6AFE"/>
    <w:rsid w:val="00621D88"/>
    <w:rsid w:val="006A076A"/>
    <w:rsid w:val="007B2466"/>
    <w:rsid w:val="00801DCD"/>
    <w:rsid w:val="0091325E"/>
    <w:rsid w:val="0092617B"/>
    <w:rsid w:val="009C6FA4"/>
    <w:rsid w:val="009E7406"/>
    <w:rsid w:val="009F1628"/>
    <w:rsid w:val="00A4726B"/>
    <w:rsid w:val="00AA01FD"/>
    <w:rsid w:val="00B10B94"/>
    <w:rsid w:val="00B315C9"/>
    <w:rsid w:val="00BA2678"/>
    <w:rsid w:val="00BB1346"/>
    <w:rsid w:val="00BB57A7"/>
    <w:rsid w:val="00C1506A"/>
    <w:rsid w:val="00D23C09"/>
    <w:rsid w:val="00DF5A9A"/>
    <w:rsid w:val="00E4673D"/>
    <w:rsid w:val="00F12968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AA24E"/>
  <w15:chartTrackingRefBased/>
  <w15:docId w15:val="{884FFDCC-72C9-4BDE-9BB3-82CAA349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6A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A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A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BD86-752F-401A-B644-8F4096A6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Armando Zamora Reyes</dc:creator>
  <cp:keywords/>
  <dc:description/>
  <cp:lastModifiedBy>Marion Eloisa Vasquez Mira</cp:lastModifiedBy>
  <cp:revision>18</cp:revision>
  <dcterms:created xsi:type="dcterms:W3CDTF">2023-01-26T16:33:00Z</dcterms:created>
  <dcterms:modified xsi:type="dcterms:W3CDTF">2023-01-28T23:14:00Z</dcterms:modified>
</cp:coreProperties>
</file>